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66623CEB"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2585D3F1">
        <w:rPr>
          <w:rFonts w:ascii="Arial" w:hAnsi="Arial" w:cs="Arial"/>
          <w:b/>
          <w:bCs/>
          <w:sz w:val="32"/>
          <w:szCs w:val="32"/>
        </w:rPr>
        <w:t>A</w:t>
      </w:r>
      <w:r w:rsidR="00346193" w:rsidRPr="2585D3F1">
        <w:rPr>
          <w:rFonts w:ascii="Arial" w:hAnsi="Arial" w:cs="Arial"/>
          <w:b/>
          <w:bCs/>
          <w:sz w:val="32"/>
          <w:szCs w:val="32"/>
        </w:rPr>
        <w:t xml:space="preserve">NEXO </w:t>
      </w:r>
      <w:r w:rsidR="00EB6AC8">
        <w:rPr>
          <w:rFonts w:ascii="Arial" w:hAnsi="Arial" w:cs="Arial"/>
          <w:b/>
          <w:bCs/>
          <w:sz w:val="32"/>
          <w:szCs w:val="32"/>
        </w:rPr>
        <w:t>5</w:t>
      </w:r>
      <w:r w:rsidR="00346193" w:rsidRPr="2585D3F1">
        <w:rPr>
          <w:rFonts w:ascii="Arial" w:hAnsi="Arial" w:cs="Arial"/>
          <w:b/>
          <w:bCs/>
          <w:sz w:val="32"/>
          <w:szCs w:val="32"/>
        </w:rPr>
        <w:t xml:space="preserve"> </w:t>
      </w:r>
    </w:p>
    <w:p w14:paraId="45346E76" w14:textId="3F340888" w:rsidR="00C02D2A" w:rsidRPr="008D1679" w:rsidRDefault="00EB6AC8" w:rsidP="00346193">
      <w:pPr>
        <w:jc w:val="center"/>
        <w:rPr>
          <w:rFonts w:ascii="Arial" w:hAnsi="Arial" w:cs="Arial"/>
          <w:b/>
          <w:bCs/>
          <w:sz w:val="32"/>
          <w:szCs w:val="32"/>
        </w:rPr>
      </w:pPr>
      <w:r w:rsidRPr="00EB6AC8">
        <w:rPr>
          <w:rFonts w:ascii="Arial" w:hAnsi="Arial" w:cs="Arial"/>
          <w:b/>
          <w:bCs/>
          <w:sz w:val="32"/>
          <w:szCs w:val="32"/>
        </w:rPr>
        <w:t>PROCEDIMIENTO PARA COMPARTIR INGRESOS DIFERENCIALES</w:t>
      </w:r>
    </w:p>
    <w:p w14:paraId="077E896D" w14:textId="77777777" w:rsidR="00C02D2A" w:rsidRPr="008D1679" w:rsidRDefault="00C02D2A" w:rsidP="00C02D2A">
      <w:pPr>
        <w:jc w:val="center"/>
        <w:rPr>
          <w:rFonts w:ascii="Arial" w:hAnsi="Arial" w:cs="Arial"/>
          <w:b/>
          <w:bCs/>
          <w:sz w:val="32"/>
          <w:szCs w:val="32"/>
        </w:rPr>
      </w:pPr>
    </w:p>
    <w:p w14:paraId="1C6AC4EF" w14:textId="506F5D34" w:rsidR="00C02D2A" w:rsidRPr="008D1679" w:rsidRDefault="00346193" w:rsidP="00C02D2A">
      <w:pPr>
        <w:jc w:val="center"/>
        <w:rPr>
          <w:rFonts w:ascii="Arial" w:hAnsi="Arial" w:cs="Arial"/>
          <w:b/>
          <w:bCs/>
          <w:sz w:val="32"/>
          <w:szCs w:val="32"/>
        </w:rPr>
      </w:pPr>
      <w:r>
        <w:rPr>
          <w:rFonts w:ascii="Arial" w:hAnsi="Arial" w:cs="Arial"/>
          <w:b/>
          <w:bCs/>
          <w:sz w:val="32"/>
          <w:szCs w:val="32"/>
        </w:rPr>
        <w:t xml:space="preserve">ANEXOS DEL </w:t>
      </w:r>
      <w:r w:rsidR="00681805">
        <w:rPr>
          <w:rFonts w:ascii="Arial" w:hAnsi="Arial" w:cs="Arial"/>
          <w:b/>
          <w:bCs/>
          <w:sz w:val="32"/>
          <w:szCs w:val="32"/>
        </w:rPr>
        <w:t>TÍTULO DE CONCESIÓN</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45AC10B9" w14:textId="746CCCF4"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6E79C47C" w:rsidR="001331DD" w:rsidRDefault="001331DD" w:rsidP="00C02D2A">
      <w:pPr>
        <w:textAlignment w:val="baseline"/>
        <w:rPr>
          <w:rFonts w:ascii="Arial" w:eastAsia="MS Mincho" w:hAnsi="Arial" w:cs="Arial"/>
          <w:lang w:eastAsia="es-MX"/>
        </w:rPr>
      </w:pPr>
    </w:p>
    <w:p w14:paraId="5EF8BF9D" w14:textId="2382D1E4" w:rsidR="00681805" w:rsidRPr="00EB6AC8" w:rsidRDefault="00EB6AC8" w:rsidP="00681805">
      <w:pPr>
        <w:spacing w:after="0" w:line="240" w:lineRule="auto"/>
        <w:jc w:val="center"/>
        <w:textAlignment w:val="baseline"/>
        <w:rPr>
          <w:rFonts w:ascii="Arial" w:eastAsia="MS Mincho" w:hAnsi="Arial" w:cs="Arial"/>
          <w:b/>
          <w:bCs/>
          <w:lang w:eastAsia="es-MX"/>
        </w:rPr>
      </w:pPr>
      <w:r w:rsidRPr="00EB6AC8">
        <w:rPr>
          <w:rFonts w:ascii="Arial" w:eastAsia="MS Mincho" w:hAnsi="Arial" w:cs="Arial"/>
          <w:b/>
          <w:bCs/>
          <w:lang w:eastAsia="es-MX"/>
        </w:rPr>
        <w:lastRenderedPageBreak/>
        <w:t>PROCEDIMIENTO PARA COMPARTIR INGRESOS DIFERENCIALES</w:t>
      </w:r>
    </w:p>
    <w:p w14:paraId="58710545" w14:textId="77777777" w:rsidR="00681805" w:rsidRPr="00EB6AC8" w:rsidRDefault="00681805" w:rsidP="00681805">
      <w:pPr>
        <w:spacing w:after="0" w:line="240" w:lineRule="auto"/>
        <w:jc w:val="both"/>
        <w:textAlignment w:val="baseline"/>
        <w:rPr>
          <w:rFonts w:ascii="Arial" w:eastAsia="MS Mincho" w:hAnsi="Arial" w:cs="Arial"/>
          <w:b/>
          <w:bCs/>
          <w:lang w:eastAsia="es-MX"/>
        </w:rPr>
      </w:pPr>
    </w:p>
    <w:p w14:paraId="0EE30A34" w14:textId="3B34D478" w:rsidR="00EB6AC8" w:rsidRPr="00EB6AC8" w:rsidRDefault="00EB6AC8" w:rsidP="00EB6AC8">
      <w:pPr>
        <w:spacing w:after="0" w:line="240" w:lineRule="auto"/>
        <w:ind w:right="1"/>
        <w:jc w:val="both"/>
        <w:rPr>
          <w:rFonts w:ascii="Arial" w:eastAsia="Arial" w:hAnsi="Arial" w:cs="Arial"/>
          <w:color w:val="000000"/>
          <w:lang w:eastAsia="es-MX"/>
        </w:rPr>
      </w:pPr>
      <w:r w:rsidRPr="00EB6AC8">
        <w:rPr>
          <w:rFonts w:ascii="Arial" w:eastAsia="Arial" w:hAnsi="Arial" w:cs="Arial"/>
          <w:color w:val="000000"/>
          <w:lang w:eastAsia="es-MX"/>
        </w:rPr>
        <w:t>En caso de que el Fondo Nacional de Infraestructura (en adelante, el “FONADIN”) otorgue una subvención a la Carretera, la Concesionaria se obliga a compartir los Ingresos Diferenciales con el FONADIN, para recuperar total o parcialmente la Subvención de acuerdo con el mecanismo que se describe a continuación:</w:t>
      </w:r>
    </w:p>
    <w:p w14:paraId="370B27DC" w14:textId="3246E8CA" w:rsidR="00EB6AC8" w:rsidRPr="00EB6AC8" w:rsidRDefault="00EB6AC8" w:rsidP="00EB6AC8">
      <w:pPr>
        <w:spacing w:after="0"/>
        <w:rPr>
          <w:rFonts w:ascii="Arial" w:eastAsia="Arial" w:hAnsi="Arial" w:cs="Arial"/>
          <w:color w:val="000000"/>
          <w:lang w:eastAsia="es-MX"/>
        </w:rPr>
      </w:pPr>
    </w:p>
    <w:p w14:paraId="4204FAE3" w14:textId="2EC86D35" w:rsidR="00EB6AC8" w:rsidRPr="00EB6AC8" w:rsidRDefault="00EB6AC8" w:rsidP="00EB6AC8">
      <w:pPr>
        <w:numPr>
          <w:ilvl w:val="1"/>
          <w:numId w:val="47"/>
        </w:numPr>
        <w:spacing w:after="0" w:line="240" w:lineRule="auto"/>
        <w:ind w:left="851" w:right="1" w:hanging="567"/>
        <w:jc w:val="both"/>
        <w:rPr>
          <w:rFonts w:ascii="Arial" w:eastAsia="Arial" w:hAnsi="Arial" w:cs="Arial"/>
          <w:color w:val="000000"/>
          <w:lang w:eastAsia="es-MX"/>
        </w:rPr>
      </w:pPr>
      <w:r w:rsidRPr="00EB6AC8">
        <w:rPr>
          <w:rFonts w:ascii="Arial" w:eastAsia="Arial" w:hAnsi="Arial" w:cs="Arial"/>
          <w:color w:val="000000"/>
          <w:lang w:eastAsia="es-MX"/>
        </w:rPr>
        <w:t xml:space="preserve">Para la determinación de los Ingresos Diferenciales destinados a recuperar la Subvención otorgada por el FONADIN, </w:t>
      </w:r>
      <w:r>
        <w:rPr>
          <w:rFonts w:ascii="Arial" w:eastAsia="Arial" w:hAnsi="Arial" w:cs="Arial"/>
          <w:color w:val="000000"/>
          <w:lang w:eastAsia="es-MX"/>
        </w:rPr>
        <w:t>l</w:t>
      </w:r>
      <w:r w:rsidRPr="00EB6AC8">
        <w:rPr>
          <w:rFonts w:ascii="Arial" w:eastAsia="Arial" w:hAnsi="Arial" w:cs="Arial"/>
          <w:bCs/>
          <w:color w:val="000000"/>
          <w:lang w:eastAsia="es-MX"/>
        </w:rPr>
        <w:t>a Concesionaria</w:t>
      </w:r>
      <w:r w:rsidRPr="00EB6AC8">
        <w:rPr>
          <w:rFonts w:ascii="Arial" w:eastAsia="Arial" w:hAnsi="Arial" w:cs="Arial"/>
          <w:color w:val="000000"/>
          <w:lang w:eastAsia="es-MX"/>
        </w:rPr>
        <w:t xml:space="preserve"> actualizará al término de cada año calendario el monto de los ingresos brutos anual sin IVA por cobro de peaje calculados a partir del escenario de tránsito del Estudio de Asignación y Pronóstico de Tránsito de Referencia, con el factor que obtendrá de dividir el INPC publicado en DOF o aquél que lo sustituya de la segunda quincena del mes de diciembre del año inmediato anterior al año de que se trate entre el INPC del mes en que se presentó la propuesta (mismo factor con que se actualizan las tarifas incluidas en el Anexo 1 referente a las Base de Regulación Tarifaria). </w:t>
      </w:r>
    </w:p>
    <w:p w14:paraId="5419B9BE" w14:textId="77777777" w:rsidR="00EB6AC8" w:rsidRPr="00EB6AC8" w:rsidRDefault="00EB6AC8" w:rsidP="00EB6AC8">
      <w:pPr>
        <w:spacing w:after="0" w:line="240" w:lineRule="auto"/>
        <w:ind w:left="851" w:right="1" w:hanging="567"/>
        <w:jc w:val="both"/>
        <w:rPr>
          <w:rFonts w:ascii="Arial" w:eastAsia="Arial" w:hAnsi="Arial" w:cs="Arial"/>
          <w:color w:val="000000"/>
          <w:lang w:eastAsia="es-MX"/>
        </w:rPr>
      </w:pPr>
    </w:p>
    <w:p w14:paraId="79F7A1B6" w14:textId="2CFAA701" w:rsidR="00EB6AC8" w:rsidRPr="00EB6AC8" w:rsidRDefault="00EB6AC8" w:rsidP="00EB6AC8">
      <w:pPr>
        <w:numPr>
          <w:ilvl w:val="1"/>
          <w:numId w:val="47"/>
        </w:numPr>
        <w:spacing w:after="0" w:line="240" w:lineRule="auto"/>
        <w:ind w:left="851" w:right="1" w:hanging="567"/>
        <w:jc w:val="both"/>
        <w:rPr>
          <w:rFonts w:ascii="Arial" w:eastAsia="Arial" w:hAnsi="Arial" w:cs="Arial"/>
          <w:color w:val="000000"/>
          <w:lang w:eastAsia="es-MX"/>
        </w:rPr>
      </w:pPr>
      <w:r w:rsidRPr="00EB6AC8">
        <w:rPr>
          <w:rFonts w:ascii="Arial" w:eastAsia="Arial" w:hAnsi="Arial" w:cs="Arial"/>
          <w:color w:val="000000"/>
          <w:lang w:eastAsia="es-MX"/>
        </w:rPr>
        <w:t xml:space="preserve">El monto de los ingresos actualizados referidos en el numeral anterior deberá compararse con los ingresos brutos tarifados anuales nominales, sin IVA, obtenidos por </w:t>
      </w:r>
      <w:r>
        <w:rPr>
          <w:rFonts w:ascii="Arial" w:eastAsia="Arial" w:hAnsi="Arial" w:cs="Arial"/>
          <w:color w:val="000000"/>
          <w:lang w:eastAsia="es-MX"/>
        </w:rPr>
        <w:t>l</w:t>
      </w:r>
      <w:r w:rsidRPr="00EB6AC8">
        <w:rPr>
          <w:rFonts w:ascii="Arial" w:eastAsia="Arial" w:hAnsi="Arial" w:cs="Arial"/>
          <w:bCs/>
          <w:color w:val="000000"/>
          <w:lang w:eastAsia="es-MX"/>
        </w:rPr>
        <w:t>a Concesionaria</w:t>
      </w:r>
      <w:r w:rsidRPr="00EB6AC8">
        <w:rPr>
          <w:rFonts w:ascii="Arial" w:eastAsia="Arial" w:hAnsi="Arial" w:cs="Arial"/>
          <w:color w:val="000000"/>
          <w:lang w:eastAsia="es-MX"/>
        </w:rPr>
        <w:t xml:space="preserve"> por concepto de cobro de peaje en ese mismo año. </w:t>
      </w:r>
    </w:p>
    <w:p w14:paraId="2C03AE57" w14:textId="77777777" w:rsidR="00EB6AC8" w:rsidRPr="00EB6AC8" w:rsidRDefault="00EB6AC8" w:rsidP="00EB6AC8">
      <w:pPr>
        <w:spacing w:after="0"/>
        <w:ind w:left="851" w:hanging="567"/>
        <w:rPr>
          <w:rFonts w:ascii="Arial" w:eastAsia="Arial" w:hAnsi="Arial" w:cs="Arial"/>
          <w:color w:val="000000"/>
          <w:lang w:eastAsia="es-MX"/>
        </w:rPr>
      </w:pPr>
      <w:r w:rsidRPr="00EB6AC8">
        <w:rPr>
          <w:rFonts w:ascii="Arial" w:eastAsia="Arial" w:hAnsi="Arial" w:cs="Arial"/>
          <w:color w:val="000000"/>
          <w:lang w:eastAsia="es-MX"/>
        </w:rPr>
        <w:t xml:space="preserve"> </w:t>
      </w:r>
    </w:p>
    <w:p w14:paraId="244416C0" w14:textId="4F650F6C" w:rsidR="00EB6AC8" w:rsidRPr="00EB6AC8" w:rsidRDefault="00EB6AC8" w:rsidP="00EB6AC8">
      <w:pPr>
        <w:numPr>
          <w:ilvl w:val="1"/>
          <w:numId w:val="47"/>
        </w:numPr>
        <w:spacing w:after="0" w:line="240" w:lineRule="auto"/>
        <w:ind w:left="851" w:right="1" w:hanging="567"/>
        <w:jc w:val="both"/>
        <w:rPr>
          <w:rFonts w:ascii="Arial" w:eastAsia="Arial" w:hAnsi="Arial" w:cs="Arial"/>
          <w:color w:val="000000"/>
          <w:lang w:eastAsia="es-MX"/>
        </w:rPr>
      </w:pPr>
      <w:r w:rsidRPr="00EB6AC8">
        <w:rPr>
          <w:rFonts w:ascii="Arial" w:eastAsia="Arial" w:hAnsi="Arial" w:cs="Arial"/>
          <w:color w:val="000000"/>
          <w:lang w:eastAsia="es-MX"/>
        </w:rPr>
        <w:t xml:space="preserve">Se entenderá por Ingreso Diferenciales por recuperar al FONADIN, el resultado positivo de restar a los ingresos brutos tarifados sin IVA obtenidos por </w:t>
      </w:r>
      <w:r>
        <w:rPr>
          <w:rFonts w:ascii="Arial" w:eastAsia="Arial" w:hAnsi="Arial" w:cs="Arial"/>
          <w:bCs/>
          <w:color w:val="000000"/>
          <w:lang w:eastAsia="es-MX"/>
        </w:rPr>
        <w:t>l</w:t>
      </w:r>
      <w:r w:rsidRPr="00EB6AC8">
        <w:rPr>
          <w:rFonts w:ascii="Arial" w:eastAsia="Arial" w:hAnsi="Arial" w:cs="Arial"/>
          <w:bCs/>
          <w:color w:val="000000"/>
          <w:lang w:eastAsia="es-MX"/>
        </w:rPr>
        <w:t>a Concesionaria</w:t>
      </w:r>
      <w:r w:rsidRPr="00EB6AC8">
        <w:rPr>
          <w:rFonts w:ascii="Arial" w:eastAsia="Arial" w:hAnsi="Arial" w:cs="Arial"/>
          <w:color w:val="000000"/>
          <w:lang w:eastAsia="es-MX"/>
        </w:rPr>
        <w:t xml:space="preserve"> al término de cada año calendario el monto de los ingresos anuales calculados a partir del Estudio de Asignación y Pronóstico de Tránsito de Referencia para ese mismo año de la Concesión, con las consideraciones que se indican en el numeral siguiente. </w:t>
      </w:r>
    </w:p>
    <w:p w14:paraId="632980BD" w14:textId="77777777" w:rsidR="00EB6AC8" w:rsidRPr="00EB6AC8" w:rsidRDefault="00EB6AC8" w:rsidP="00EB6AC8">
      <w:pPr>
        <w:spacing w:after="0"/>
        <w:ind w:left="851" w:hanging="567"/>
        <w:rPr>
          <w:rFonts w:ascii="Arial" w:eastAsia="Arial" w:hAnsi="Arial" w:cs="Arial"/>
          <w:color w:val="000000"/>
          <w:lang w:eastAsia="es-MX"/>
        </w:rPr>
      </w:pPr>
      <w:r w:rsidRPr="00EB6AC8">
        <w:rPr>
          <w:rFonts w:ascii="Arial" w:eastAsia="Arial" w:hAnsi="Arial" w:cs="Arial"/>
          <w:color w:val="000000"/>
          <w:lang w:eastAsia="es-MX"/>
        </w:rPr>
        <w:t xml:space="preserve"> </w:t>
      </w:r>
    </w:p>
    <w:p w14:paraId="4A3CCD51" w14:textId="32E1B689" w:rsidR="00EB6AC8" w:rsidRPr="00EB6AC8" w:rsidRDefault="00EB6AC8" w:rsidP="00EB6AC8">
      <w:pPr>
        <w:numPr>
          <w:ilvl w:val="1"/>
          <w:numId w:val="47"/>
        </w:numPr>
        <w:spacing w:after="0" w:line="240" w:lineRule="auto"/>
        <w:ind w:left="851" w:right="1" w:hanging="567"/>
        <w:jc w:val="both"/>
        <w:rPr>
          <w:rFonts w:ascii="Arial" w:eastAsia="Arial" w:hAnsi="Arial" w:cs="Arial"/>
          <w:color w:val="000000"/>
          <w:lang w:eastAsia="es-MX"/>
        </w:rPr>
      </w:pPr>
      <w:r w:rsidRPr="00EB6AC8">
        <w:rPr>
          <w:rFonts w:ascii="Arial" w:eastAsia="Arial" w:hAnsi="Arial" w:cs="Arial"/>
          <w:color w:val="000000"/>
          <w:lang w:eastAsia="es-MX"/>
        </w:rPr>
        <w:t xml:space="preserve">En caso de que los ingresos brutos tarifados sin IVA del año de que se trate, obtenidos por </w:t>
      </w:r>
      <w:r>
        <w:rPr>
          <w:rFonts w:ascii="Arial" w:eastAsia="Arial" w:hAnsi="Arial" w:cs="Arial"/>
          <w:bCs/>
          <w:color w:val="000000"/>
          <w:lang w:eastAsia="es-MX"/>
        </w:rPr>
        <w:t>l</w:t>
      </w:r>
      <w:r w:rsidRPr="00EB6AC8">
        <w:rPr>
          <w:rFonts w:ascii="Arial" w:eastAsia="Arial" w:hAnsi="Arial" w:cs="Arial"/>
          <w:bCs/>
          <w:color w:val="000000"/>
          <w:lang w:eastAsia="es-MX"/>
        </w:rPr>
        <w:t>a Concesionaria</w:t>
      </w:r>
      <w:r w:rsidRPr="00EB6AC8">
        <w:rPr>
          <w:rFonts w:ascii="Arial" w:eastAsia="Arial" w:hAnsi="Arial" w:cs="Arial"/>
          <w:color w:val="000000"/>
          <w:lang w:eastAsia="es-MX"/>
        </w:rPr>
        <w:t xml:space="preserve">, resulte 20% (veinte por ciento) superiores al monto de los ingresos anuales por concepto de peaje calculados a partir del Estudio y Asignación y Pronóstico de Tránsito de Referencia aludidos en el punto I. anterior, </w:t>
      </w:r>
      <w:r>
        <w:rPr>
          <w:rFonts w:ascii="Arial" w:eastAsia="Arial" w:hAnsi="Arial" w:cs="Arial"/>
          <w:bCs/>
          <w:color w:val="000000"/>
          <w:lang w:eastAsia="es-MX"/>
        </w:rPr>
        <w:t>l</w:t>
      </w:r>
      <w:r w:rsidRPr="00EB6AC8">
        <w:rPr>
          <w:rFonts w:ascii="Arial" w:eastAsia="Arial" w:hAnsi="Arial" w:cs="Arial"/>
          <w:bCs/>
          <w:color w:val="000000"/>
          <w:lang w:eastAsia="es-MX"/>
        </w:rPr>
        <w:t>a Concesionaria</w:t>
      </w:r>
      <w:r w:rsidRPr="00EB6AC8">
        <w:rPr>
          <w:rFonts w:ascii="Arial" w:eastAsia="Arial" w:hAnsi="Arial" w:cs="Arial"/>
          <w:color w:val="000000"/>
          <w:lang w:eastAsia="es-MX"/>
        </w:rPr>
        <w:t xml:space="preserve"> estará obligada a entregar al FONADIN, por concepto de recuperación de la Subvención, el 50% (cincuenta por ciento) del excedente que exista por encima del 20%(veinte por ciento) referido. La entrega de dichos ingresos al FONADIN, deberá realizarse durante el mes de enero del año inmediato siguiente al del cierre del ejercicio correspondiente. </w:t>
      </w:r>
    </w:p>
    <w:p w14:paraId="199D8388" w14:textId="77777777" w:rsidR="00EB6AC8" w:rsidRPr="00EB6AC8" w:rsidRDefault="00EB6AC8" w:rsidP="00EB6AC8">
      <w:pPr>
        <w:spacing w:after="0"/>
        <w:rPr>
          <w:rFonts w:ascii="Arial" w:eastAsia="Arial" w:hAnsi="Arial" w:cs="Arial"/>
          <w:color w:val="000000"/>
          <w:lang w:eastAsia="es-MX"/>
        </w:rPr>
      </w:pPr>
      <w:r w:rsidRPr="00EB6AC8">
        <w:rPr>
          <w:rFonts w:ascii="Arial" w:eastAsia="Arial" w:hAnsi="Arial" w:cs="Arial"/>
          <w:color w:val="000000"/>
          <w:lang w:eastAsia="es-MX"/>
        </w:rPr>
        <w:t xml:space="preserve"> </w:t>
      </w:r>
    </w:p>
    <w:p w14:paraId="4C751ED1" w14:textId="2FC8D5FB" w:rsidR="00EB6AC8" w:rsidRPr="00EB6AC8" w:rsidRDefault="00EB6AC8" w:rsidP="00EB6AC8">
      <w:pPr>
        <w:spacing w:after="0" w:line="240" w:lineRule="auto"/>
        <w:ind w:left="-15" w:right="1"/>
        <w:jc w:val="both"/>
        <w:rPr>
          <w:rFonts w:ascii="Arial" w:eastAsia="Arial" w:hAnsi="Arial" w:cs="Arial"/>
          <w:color w:val="000000"/>
          <w:lang w:eastAsia="es-MX"/>
        </w:rPr>
      </w:pPr>
      <w:r w:rsidRPr="00EB6AC8">
        <w:rPr>
          <w:rFonts w:ascii="Arial" w:eastAsia="Arial" w:hAnsi="Arial" w:cs="Arial"/>
          <w:color w:val="000000"/>
          <w:lang w:eastAsia="es-MX"/>
        </w:rPr>
        <w:t xml:space="preserve">En ningún caso, incluyendo el supuesto en el que el cálculo de los Ingresos Diferenciales resulte negativo (inferior a cero) mediará pago alguno hacia </w:t>
      </w:r>
      <w:r>
        <w:rPr>
          <w:rFonts w:ascii="Arial" w:eastAsia="Arial" w:hAnsi="Arial" w:cs="Arial"/>
          <w:bCs/>
          <w:color w:val="000000"/>
          <w:lang w:eastAsia="es-MX"/>
        </w:rPr>
        <w:t>l</w:t>
      </w:r>
      <w:r w:rsidRPr="00EB6AC8">
        <w:rPr>
          <w:rFonts w:ascii="Arial" w:eastAsia="Arial" w:hAnsi="Arial" w:cs="Arial"/>
          <w:bCs/>
          <w:color w:val="000000"/>
          <w:lang w:eastAsia="es-MX"/>
        </w:rPr>
        <w:t>a Concesionaria</w:t>
      </w:r>
      <w:r w:rsidRPr="00EB6AC8">
        <w:rPr>
          <w:rFonts w:ascii="Arial" w:eastAsia="Arial" w:hAnsi="Arial" w:cs="Arial"/>
          <w:color w:val="000000"/>
          <w:lang w:eastAsia="es-MX"/>
        </w:rPr>
        <w:t xml:space="preserve"> por parte de la Federación o del FONADIN</w:t>
      </w:r>
      <w:r w:rsidRPr="00EB6AC8">
        <w:rPr>
          <w:rFonts w:ascii="Arial" w:eastAsia="Arial" w:hAnsi="Arial" w:cs="Arial"/>
          <w:b/>
          <w:color w:val="000000"/>
          <w:lang w:eastAsia="es-MX"/>
        </w:rPr>
        <w:t>.</w:t>
      </w:r>
      <w:r w:rsidRPr="00EB6AC8">
        <w:rPr>
          <w:rFonts w:ascii="Arial" w:eastAsia="Arial" w:hAnsi="Arial" w:cs="Arial"/>
          <w:color w:val="000000"/>
          <w:lang w:eastAsia="es-MX"/>
        </w:rPr>
        <w:t xml:space="preserve"> </w:t>
      </w:r>
    </w:p>
    <w:p w14:paraId="442C2087" w14:textId="0D41208A" w:rsidR="00EB6AC8" w:rsidRPr="00EB6AC8" w:rsidRDefault="00EB6AC8" w:rsidP="00EB6AC8">
      <w:pPr>
        <w:spacing w:after="0"/>
        <w:rPr>
          <w:rFonts w:ascii="Arial" w:eastAsia="Arial" w:hAnsi="Arial" w:cs="Arial"/>
          <w:color w:val="000000"/>
          <w:lang w:eastAsia="es-MX"/>
        </w:rPr>
      </w:pPr>
    </w:p>
    <w:p w14:paraId="6BE8BB66" w14:textId="485AB6B6" w:rsidR="00EB6AC8" w:rsidRPr="00EB6AC8" w:rsidRDefault="00EB6AC8" w:rsidP="00EB6AC8">
      <w:pPr>
        <w:spacing w:after="0" w:line="240" w:lineRule="auto"/>
        <w:ind w:left="-15" w:right="1"/>
        <w:jc w:val="both"/>
        <w:rPr>
          <w:rFonts w:ascii="Arial" w:eastAsia="Arial" w:hAnsi="Arial" w:cs="Arial"/>
          <w:color w:val="000000"/>
          <w:lang w:eastAsia="es-MX"/>
        </w:rPr>
      </w:pPr>
      <w:r w:rsidRPr="00EB6AC8">
        <w:rPr>
          <w:rFonts w:ascii="Arial" w:eastAsia="Arial" w:hAnsi="Arial" w:cs="Arial"/>
          <w:color w:val="000000"/>
          <w:lang w:eastAsia="es-MX"/>
        </w:rPr>
        <w:t xml:space="preserve">Para el cálculo de los Ingresos Diferenciales </w:t>
      </w:r>
      <w:r>
        <w:rPr>
          <w:rFonts w:ascii="Arial" w:eastAsia="Arial" w:hAnsi="Arial" w:cs="Arial"/>
          <w:bCs/>
          <w:color w:val="000000"/>
          <w:lang w:eastAsia="es-MX"/>
        </w:rPr>
        <w:t>l</w:t>
      </w:r>
      <w:r w:rsidRPr="00EB6AC8">
        <w:rPr>
          <w:rFonts w:ascii="Arial" w:eastAsia="Arial" w:hAnsi="Arial" w:cs="Arial"/>
          <w:bCs/>
          <w:color w:val="000000"/>
          <w:lang w:eastAsia="es-MX"/>
        </w:rPr>
        <w:t>a Concesionaria</w:t>
      </w:r>
      <w:r w:rsidRPr="00EB6AC8">
        <w:rPr>
          <w:rFonts w:ascii="Arial" w:eastAsia="Arial" w:hAnsi="Arial" w:cs="Arial"/>
          <w:color w:val="000000"/>
          <w:lang w:eastAsia="es-MX"/>
        </w:rPr>
        <w:t xml:space="preserve"> deberá entregar los informes necesarios conforme a lo dispuesto en la Condición </w:t>
      </w:r>
      <w:r>
        <w:rPr>
          <w:rFonts w:ascii="Arial" w:eastAsia="Arial" w:hAnsi="Arial" w:cs="Arial"/>
          <w:color w:val="000000"/>
          <w:lang w:eastAsia="es-MX"/>
        </w:rPr>
        <w:t>NOVENA del Título de Concesión.</w:t>
      </w:r>
      <w:r w:rsidRPr="00EB6AC8">
        <w:rPr>
          <w:rFonts w:ascii="Arial" w:eastAsia="Arial" w:hAnsi="Arial" w:cs="Arial"/>
          <w:color w:val="000000"/>
          <w:lang w:eastAsia="es-MX"/>
        </w:rPr>
        <w:t xml:space="preserve"> </w:t>
      </w:r>
    </w:p>
    <w:p w14:paraId="5A6A2885" w14:textId="2C31CAE3" w:rsidR="00EB6AC8" w:rsidRPr="00EB6AC8" w:rsidRDefault="00EB6AC8" w:rsidP="00EB6AC8">
      <w:pPr>
        <w:spacing w:after="0"/>
        <w:rPr>
          <w:rFonts w:ascii="Arial" w:eastAsia="Arial" w:hAnsi="Arial" w:cs="Arial"/>
          <w:color w:val="000000"/>
          <w:lang w:eastAsia="es-MX"/>
        </w:rPr>
      </w:pPr>
    </w:p>
    <w:p w14:paraId="35A168E2" w14:textId="77777777" w:rsidR="00EB6AC8" w:rsidRPr="00EB6AC8" w:rsidRDefault="00EB6AC8" w:rsidP="00EB6AC8">
      <w:pPr>
        <w:spacing w:after="0" w:line="240" w:lineRule="auto"/>
        <w:ind w:left="-15" w:right="1"/>
        <w:jc w:val="both"/>
        <w:rPr>
          <w:rFonts w:ascii="Arial" w:eastAsia="Arial" w:hAnsi="Arial" w:cs="Arial"/>
          <w:color w:val="000000"/>
          <w:lang w:eastAsia="es-MX"/>
        </w:rPr>
      </w:pPr>
      <w:r w:rsidRPr="00EB6AC8">
        <w:rPr>
          <w:rFonts w:ascii="Arial" w:eastAsia="Arial" w:hAnsi="Arial" w:cs="Arial"/>
          <w:color w:val="000000"/>
          <w:lang w:eastAsia="es-MX"/>
        </w:rPr>
        <w:t xml:space="preserve">Los montos de los ingresos referidos de este Anexo 5 para el cálculo de los Ingresos Diferenciales que se deberán considerar para efectos de comparación, referentes a los montos de los ingresos brutos anuales sin IVA por cobro de peaje del escenario de tránsito incluido en el Estudio de Asignación y Pronóstico de Tránsito de Referencia, ya incrementados en un 20% (debiendo sólo actualizarse utilizando la metodología descrita en este Anexo 5) son los que se indican en la tabla siguiente: </w:t>
      </w:r>
    </w:p>
    <w:p w14:paraId="0C417587" w14:textId="47EF6E2D" w:rsidR="00EB6AC8" w:rsidRDefault="00EB6AC8" w:rsidP="00EB6AC8">
      <w:pPr>
        <w:spacing w:after="0"/>
        <w:rPr>
          <w:rFonts w:ascii="Arial" w:eastAsia="Arial" w:hAnsi="Arial" w:cs="Arial"/>
          <w:color w:val="000000"/>
          <w:lang w:eastAsia="es-MX"/>
        </w:rPr>
      </w:pPr>
    </w:p>
    <w:p w14:paraId="4762966E" w14:textId="461C3E7A" w:rsidR="00EB6AC8" w:rsidRDefault="00EB6AC8" w:rsidP="00EB6AC8">
      <w:pPr>
        <w:spacing w:after="0"/>
        <w:rPr>
          <w:rFonts w:ascii="Arial" w:eastAsia="Arial" w:hAnsi="Arial" w:cs="Arial"/>
          <w:color w:val="000000"/>
          <w:lang w:eastAsia="es-MX"/>
        </w:rPr>
      </w:pPr>
    </w:p>
    <w:p w14:paraId="44959727" w14:textId="77777777" w:rsidR="00EB6AC8" w:rsidRPr="00EB6AC8" w:rsidRDefault="00EB6AC8" w:rsidP="00EB6AC8">
      <w:pPr>
        <w:spacing w:after="0"/>
        <w:rPr>
          <w:rFonts w:ascii="Arial" w:eastAsia="Arial" w:hAnsi="Arial" w:cs="Arial"/>
          <w:color w:val="000000"/>
          <w:lang w:eastAsia="es-MX"/>
        </w:rPr>
      </w:pPr>
    </w:p>
    <w:p w14:paraId="46468433" w14:textId="77777777" w:rsidR="00EB6AC8" w:rsidRPr="00EB6AC8" w:rsidRDefault="00EB6AC8" w:rsidP="00EB6AC8">
      <w:pPr>
        <w:spacing w:after="5" w:line="250" w:lineRule="auto"/>
        <w:ind w:left="87" w:hanging="10"/>
        <w:jc w:val="center"/>
        <w:rPr>
          <w:rFonts w:ascii="Arial" w:eastAsia="Arial" w:hAnsi="Arial" w:cs="Arial"/>
          <w:color w:val="000000"/>
          <w:lang w:eastAsia="es-MX"/>
        </w:rPr>
      </w:pPr>
      <w:r w:rsidRPr="00EB6AC8">
        <w:rPr>
          <w:rFonts w:ascii="Arial" w:eastAsia="Arial" w:hAnsi="Arial" w:cs="Arial"/>
          <w:b/>
          <w:color w:val="000000"/>
          <w:lang w:eastAsia="es-MX"/>
        </w:rPr>
        <w:t xml:space="preserve">Ingresos Brutos Anuales sin I.V.A. </w:t>
      </w:r>
    </w:p>
    <w:p w14:paraId="1A4A6F4C" w14:textId="77777777" w:rsidR="00EB6AC8" w:rsidRPr="00EB6AC8" w:rsidRDefault="00EB6AC8" w:rsidP="00EB6AC8">
      <w:pPr>
        <w:spacing w:after="5" w:line="250" w:lineRule="auto"/>
        <w:ind w:left="1005" w:right="780" w:hanging="10"/>
        <w:jc w:val="center"/>
        <w:rPr>
          <w:rFonts w:ascii="Arial" w:eastAsia="Arial" w:hAnsi="Arial" w:cs="Arial"/>
          <w:color w:val="000000"/>
          <w:lang w:eastAsia="es-MX"/>
        </w:rPr>
      </w:pPr>
      <w:r w:rsidRPr="00EB6AC8">
        <w:rPr>
          <w:rFonts w:ascii="Arial" w:eastAsia="Arial" w:hAnsi="Arial" w:cs="Arial"/>
          <w:b/>
          <w:color w:val="000000"/>
          <w:lang w:eastAsia="es-MX"/>
        </w:rPr>
        <w:t xml:space="preserve">Estimados en el escenario del Estudio de Asignación y Pronóstico de Tránsito de Referencia.  </w:t>
      </w:r>
    </w:p>
    <w:p w14:paraId="349C7720" w14:textId="77777777" w:rsidR="00EB6AC8" w:rsidRPr="00EB6AC8" w:rsidRDefault="00EB6AC8" w:rsidP="00EB6AC8">
      <w:pPr>
        <w:spacing w:after="5" w:line="250" w:lineRule="auto"/>
        <w:ind w:left="87" w:right="77" w:hanging="10"/>
        <w:jc w:val="center"/>
        <w:rPr>
          <w:rFonts w:ascii="Arial" w:eastAsia="Arial" w:hAnsi="Arial" w:cs="Arial"/>
          <w:color w:val="000000"/>
          <w:lang w:eastAsia="es-MX"/>
        </w:rPr>
      </w:pPr>
      <w:r w:rsidRPr="00EB6AC8">
        <w:rPr>
          <w:rFonts w:ascii="Arial" w:eastAsia="Arial" w:hAnsi="Arial" w:cs="Arial"/>
          <w:b/>
          <w:color w:val="000000"/>
          <w:lang w:eastAsia="es-MX"/>
        </w:rPr>
        <w:t xml:space="preserve">Pesos a Precios Constantes, ya incrementados en un 20% (veinte por ciento) conforme al presente Anexo. </w:t>
      </w:r>
    </w:p>
    <w:p w14:paraId="273C0F20" w14:textId="1689F8D8" w:rsidR="00EB6AC8" w:rsidRPr="00EB6AC8" w:rsidRDefault="00EB6AC8" w:rsidP="00EB6AC8">
      <w:pPr>
        <w:spacing w:after="0"/>
        <w:rPr>
          <w:rFonts w:ascii="Arial" w:eastAsiaTheme="minorEastAsia" w:hAnsi="Arial" w:cs="Arial"/>
          <w:lang w:eastAsia="es-MX"/>
        </w:rPr>
      </w:pPr>
      <w:r w:rsidRPr="00EB6AC8">
        <w:rPr>
          <w:rFonts w:ascii="Arial" w:eastAsia="Arial" w:hAnsi="Arial" w:cs="Arial"/>
          <w:b/>
          <w:color w:val="000000"/>
          <w:lang w:eastAsia="es-MX"/>
        </w:rPr>
        <w:t xml:space="preserve"> </w:t>
      </w:r>
      <w:r w:rsidRPr="00EB6AC8">
        <w:rPr>
          <w:rFonts w:ascii="Arial" w:eastAsia="Arial" w:hAnsi="Arial" w:cs="Arial"/>
          <w:color w:val="000000"/>
          <w:lang w:eastAsia="es-MX"/>
        </w:rPr>
        <w:fldChar w:fldCharType="begin"/>
      </w:r>
      <w:r w:rsidRPr="00EB6AC8">
        <w:rPr>
          <w:rFonts w:ascii="Arial" w:eastAsia="Arial" w:hAnsi="Arial" w:cs="Arial"/>
          <w:color w:val="000000"/>
          <w:lang w:eastAsia="es-MX"/>
        </w:rPr>
        <w:instrText xml:space="preserve"> LINK Excel.Sheet.12 "Libro1" "Hoja1!F5C7:F33C10" \a \f 4 \h  \* MERGEFORMAT </w:instrText>
      </w:r>
      <w:r w:rsidRPr="00EB6AC8">
        <w:rPr>
          <w:rFonts w:ascii="Arial" w:eastAsia="Arial" w:hAnsi="Arial" w:cs="Arial"/>
          <w:color w:val="000000"/>
          <w:lang w:eastAsia="es-MX"/>
        </w:rPr>
        <w:fldChar w:fldCharType="separate"/>
      </w:r>
    </w:p>
    <w:tbl>
      <w:tblPr>
        <w:tblW w:w="5146" w:type="dxa"/>
        <w:jc w:val="center"/>
        <w:tblCellMar>
          <w:left w:w="70" w:type="dxa"/>
          <w:right w:w="70" w:type="dxa"/>
        </w:tblCellMar>
        <w:tblLook w:val="04A0" w:firstRow="1" w:lastRow="0" w:firstColumn="1" w:lastColumn="0" w:noHBand="0" w:noVBand="1"/>
      </w:tblPr>
      <w:tblGrid>
        <w:gridCol w:w="630"/>
        <w:gridCol w:w="4516"/>
      </w:tblGrid>
      <w:tr w:rsidR="00EB6AC8" w:rsidRPr="00EB6AC8" w14:paraId="44CE36FC" w14:textId="77777777" w:rsidTr="009265D6">
        <w:trPr>
          <w:trHeight w:val="330"/>
          <w:jc w:val="center"/>
        </w:trPr>
        <w:tc>
          <w:tcPr>
            <w:tcW w:w="564" w:type="dxa"/>
            <w:tcBorders>
              <w:top w:val="single" w:sz="8" w:space="0" w:color="auto"/>
              <w:left w:val="single" w:sz="8" w:space="0" w:color="auto"/>
              <w:bottom w:val="single" w:sz="8" w:space="0" w:color="000000"/>
              <w:right w:val="single" w:sz="8" w:space="0" w:color="000000"/>
            </w:tcBorders>
            <w:shd w:val="clear" w:color="000000" w:fill="C5E0B3"/>
            <w:vAlign w:val="center"/>
            <w:hideMark/>
          </w:tcPr>
          <w:p w14:paraId="461D0163" w14:textId="77777777" w:rsidR="00EB6AC8" w:rsidRPr="00EB6AC8" w:rsidRDefault="00EB6AC8" w:rsidP="00EB6AC8">
            <w:pPr>
              <w:spacing w:after="0" w:line="240" w:lineRule="auto"/>
              <w:jc w:val="center"/>
              <w:rPr>
                <w:rFonts w:ascii="Arial" w:eastAsia="Times New Roman" w:hAnsi="Arial" w:cs="Arial"/>
                <w:b/>
                <w:bCs/>
                <w:color w:val="000000"/>
                <w:lang w:eastAsia="es-MX"/>
              </w:rPr>
            </w:pPr>
            <w:r w:rsidRPr="00EB6AC8">
              <w:rPr>
                <w:rFonts w:ascii="Arial" w:eastAsia="Times New Roman" w:hAnsi="Arial" w:cs="Arial"/>
                <w:b/>
                <w:bCs/>
                <w:color w:val="000000"/>
                <w:lang w:eastAsia="es-MX"/>
              </w:rPr>
              <w:t xml:space="preserve">Año </w:t>
            </w:r>
          </w:p>
        </w:tc>
        <w:tc>
          <w:tcPr>
            <w:tcW w:w="4582" w:type="dxa"/>
            <w:tcBorders>
              <w:top w:val="single" w:sz="8" w:space="0" w:color="auto"/>
              <w:left w:val="nil"/>
              <w:bottom w:val="single" w:sz="8" w:space="0" w:color="000000"/>
              <w:right w:val="single" w:sz="8" w:space="0" w:color="000000"/>
            </w:tcBorders>
            <w:shd w:val="clear" w:color="000000" w:fill="C5E0B3"/>
            <w:vAlign w:val="center"/>
            <w:hideMark/>
          </w:tcPr>
          <w:p w14:paraId="61CB06BC" w14:textId="77777777" w:rsidR="00EB6AC8" w:rsidRPr="00EB6AC8" w:rsidRDefault="00EB6AC8" w:rsidP="00EB6AC8">
            <w:pPr>
              <w:spacing w:after="0" w:line="240" w:lineRule="auto"/>
              <w:jc w:val="center"/>
              <w:rPr>
                <w:rFonts w:ascii="Arial" w:eastAsia="Times New Roman" w:hAnsi="Arial" w:cs="Arial"/>
                <w:b/>
                <w:bCs/>
                <w:color w:val="000000"/>
                <w:lang w:eastAsia="es-MX"/>
              </w:rPr>
            </w:pPr>
            <w:r w:rsidRPr="00EB6AC8">
              <w:rPr>
                <w:rFonts w:ascii="Arial" w:eastAsia="Times New Roman" w:hAnsi="Arial" w:cs="Arial"/>
                <w:b/>
                <w:bCs/>
                <w:color w:val="000000"/>
                <w:lang w:eastAsia="es-MX"/>
              </w:rPr>
              <w:t xml:space="preserve">Total </w:t>
            </w:r>
          </w:p>
        </w:tc>
      </w:tr>
      <w:tr w:rsidR="00EB6AC8" w:rsidRPr="00EB6AC8" w14:paraId="611C7FFD"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36202F79"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2023</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0BCA0B34"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2D961589"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1D66EC4C"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2024</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1083DBDB"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2B23EBE8"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71C4EC5A"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2025</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2AAC32C1"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455AA06B"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1C1DFC4C"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2026</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4564C15B"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38AF2EBC"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40C8F2FA"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2027</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781E2CF2"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0D88A70A"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33A0AEA6"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2028</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3658F3AB"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0E36CA40"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4E7CDBC9"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2029</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27088DDB"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08B80AD5"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66F9BBDC"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2030</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15A8D31F"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4E76404D"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17843432"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2031</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45D31916"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26C4A890"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298DA59D"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2032</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3A173122"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4ABFA252"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61837387"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2033</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0AF3EC5F"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7E5BD562"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34C30B44"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2034</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399403A0"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254A4FC5"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2415FCA6"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2035</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7A8A4371"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0A7F0068"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2EE30D03"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2036</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5776FAC3"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15058E06"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453F4908"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2037</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27E19B0A"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26687664"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11264949"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2038</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04D6257A"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0D82D58B"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10928F3B"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2039</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618D870D"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64C77C16"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6F46E479"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2040</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0DB7F1E4"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15F7718C"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53F0440A"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2041</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436F0AA0"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242A0577"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50CBBE08"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2042</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33461F42"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2060F455"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7B205B93"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2043</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23662332"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1F7EC670"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428A1913"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2044</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46F0D095"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2028185C"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5D8F7626"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2045</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63B48A3C"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5F8DE6EB"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3D3B3EDD"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2046</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24E77C07"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7F79987D"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61E09F0F"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2047</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0142EC8D"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4CDD2858"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76DBE73F"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2048</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6D436095"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2404F2B6" w14:textId="77777777" w:rsidTr="009265D6">
        <w:trPr>
          <w:trHeight w:val="315"/>
          <w:jc w:val="center"/>
        </w:trPr>
        <w:tc>
          <w:tcPr>
            <w:tcW w:w="564" w:type="dxa"/>
            <w:tcBorders>
              <w:top w:val="single" w:sz="8" w:space="0" w:color="000000"/>
              <w:left w:val="single" w:sz="8" w:space="0" w:color="auto"/>
              <w:bottom w:val="single" w:sz="8" w:space="0" w:color="000000"/>
              <w:right w:val="single" w:sz="8" w:space="0" w:color="000000"/>
            </w:tcBorders>
            <w:shd w:val="clear" w:color="auto" w:fill="auto"/>
            <w:vAlign w:val="center"/>
            <w:hideMark/>
          </w:tcPr>
          <w:p w14:paraId="5B618751"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2049</w:t>
            </w:r>
          </w:p>
        </w:tc>
        <w:tc>
          <w:tcPr>
            <w:tcW w:w="4582" w:type="dxa"/>
            <w:tcBorders>
              <w:top w:val="single" w:sz="8" w:space="0" w:color="000000"/>
              <w:left w:val="nil"/>
              <w:bottom w:val="single" w:sz="8" w:space="0" w:color="000000"/>
              <w:right w:val="single" w:sz="8" w:space="0" w:color="000000"/>
            </w:tcBorders>
            <w:shd w:val="clear" w:color="auto" w:fill="auto"/>
            <w:vAlign w:val="center"/>
            <w:hideMark/>
          </w:tcPr>
          <w:p w14:paraId="479115FA"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r w:rsidR="00EB6AC8" w:rsidRPr="00EB6AC8" w14:paraId="2F895ED1" w14:textId="77777777" w:rsidTr="009265D6">
        <w:trPr>
          <w:trHeight w:val="315"/>
          <w:jc w:val="center"/>
        </w:trPr>
        <w:tc>
          <w:tcPr>
            <w:tcW w:w="564" w:type="dxa"/>
            <w:tcBorders>
              <w:top w:val="single" w:sz="8" w:space="0" w:color="000000"/>
              <w:left w:val="single" w:sz="8" w:space="0" w:color="auto"/>
              <w:bottom w:val="single" w:sz="8" w:space="0" w:color="auto"/>
              <w:right w:val="single" w:sz="8" w:space="0" w:color="000000"/>
            </w:tcBorders>
            <w:shd w:val="clear" w:color="auto" w:fill="auto"/>
            <w:vAlign w:val="center"/>
            <w:hideMark/>
          </w:tcPr>
          <w:p w14:paraId="6CDFF041" w14:textId="77777777" w:rsidR="00EB6AC8" w:rsidRPr="00EB6AC8" w:rsidRDefault="00EB6AC8" w:rsidP="00EB6AC8">
            <w:pPr>
              <w:spacing w:after="0" w:line="240" w:lineRule="auto"/>
              <w:jc w:val="center"/>
              <w:rPr>
                <w:rFonts w:ascii="Arial" w:eastAsia="Times New Roman" w:hAnsi="Arial" w:cs="Arial"/>
                <w:color w:val="000000"/>
                <w:lang w:eastAsia="es-MX"/>
              </w:rPr>
            </w:pPr>
            <w:r w:rsidRPr="00EB6AC8">
              <w:rPr>
                <w:rFonts w:ascii="Arial" w:eastAsia="Times New Roman" w:hAnsi="Arial" w:cs="Arial"/>
                <w:color w:val="000000"/>
                <w:lang w:eastAsia="es-MX"/>
              </w:rPr>
              <w:t>2050</w:t>
            </w:r>
          </w:p>
        </w:tc>
        <w:tc>
          <w:tcPr>
            <w:tcW w:w="4582" w:type="dxa"/>
            <w:tcBorders>
              <w:top w:val="single" w:sz="8" w:space="0" w:color="000000"/>
              <w:left w:val="nil"/>
              <w:bottom w:val="single" w:sz="8" w:space="0" w:color="auto"/>
              <w:right w:val="single" w:sz="8" w:space="0" w:color="000000"/>
            </w:tcBorders>
            <w:shd w:val="clear" w:color="auto" w:fill="auto"/>
            <w:vAlign w:val="center"/>
            <w:hideMark/>
          </w:tcPr>
          <w:p w14:paraId="6610DA08" w14:textId="77777777" w:rsidR="00EB6AC8" w:rsidRPr="00EB6AC8" w:rsidRDefault="00EB6AC8" w:rsidP="00EB6AC8">
            <w:pPr>
              <w:spacing w:after="0" w:line="240" w:lineRule="auto"/>
              <w:ind w:firstLineChars="1200" w:firstLine="2640"/>
              <w:rPr>
                <w:rFonts w:ascii="Arial" w:eastAsia="Times New Roman" w:hAnsi="Arial" w:cs="Arial"/>
                <w:color w:val="000000"/>
                <w:lang w:eastAsia="es-MX"/>
              </w:rPr>
            </w:pPr>
            <w:r w:rsidRPr="00EB6AC8">
              <w:rPr>
                <w:rFonts w:ascii="Arial" w:eastAsia="Times New Roman" w:hAnsi="Arial" w:cs="Arial"/>
                <w:color w:val="000000"/>
                <w:lang w:eastAsia="es-MX"/>
              </w:rPr>
              <w:t> </w:t>
            </w:r>
          </w:p>
        </w:tc>
      </w:tr>
    </w:tbl>
    <w:p w14:paraId="44073FB5" w14:textId="77777777" w:rsidR="00EB6AC8" w:rsidRPr="00EB6AC8" w:rsidRDefault="00EB6AC8" w:rsidP="00EB6AC8">
      <w:pPr>
        <w:spacing w:after="0"/>
        <w:rPr>
          <w:rFonts w:ascii="Arial" w:eastAsia="Arial" w:hAnsi="Arial" w:cs="Arial"/>
          <w:color w:val="000000"/>
          <w:lang w:eastAsia="es-MX"/>
        </w:rPr>
      </w:pPr>
      <w:r w:rsidRPr="00EB6AC8">
        <w:rPr>
          <w:rFonts w:ascii="Arial" w:eastAsia="Arial" w:hAnsi="Arial" w:cs="Arial"/>
          <w:color w:val="000000"/>
          <w:lang w:eastAsia="es-MX"/>
        </w:rPr>
        <w:fldChar w:fldCharType="end"/>
      </w:r>
      <w:r w:rsidRPr="00EB6AC8">
        <w:rPr>
          <w:rFonts w:ascii="Arial" w:eastAsia="Arial" w:hAnsi="Arial" w:cs="Arial"/>
          <w:color w:val="000000"/>
          <w:lang w:eastAsia="es-MX"/>
        </w:rPr>
        <w:t xml:space="preserve"> </w:t>
      </w:r>
    </w:p>
    <w:p w14:paraId="6523DD0A" w14:textId="0AADDF81" w:rsidR="00EB6AC8" w:rsidRPr="00EB6AC8" w:rsidRDefault="00EB6AC8" w:rsidP="00EB6AC8">
      <w:pPr>
        <w:spacing w:after="0"/>
        <w:jc w:val="both"/>
        <w:rPr>
          <w:rFonts w:ascii="Arial" w:eastAsia="Arial" w:hAnsi="Arial" w:cs="Arial"/>
          <w:color w:val="000000"/>
          <w:lang w:eastAsia="es-MX"/>
        </w:rPr>
      </w:pPr>
      <w:r w:rsidRPr="00EB6AC8">
        <w:rPr>
          <w:rFonts w:ascii="Arial" w:eastAsia="Arial" w:hAnsi="Arial" w:cs="Arial"/>
          <w:bCs/>
          <w:color w:val="000000"/>
          <w:lang w:eastAsia="es-MX"/>
        </w:rPr>
        <w:lastRenderedPageBreak/>
        <w:t>La Concesionaria</w:t>
      </w:r>
      <w:r w:rsidRPr="00EB6AC8">
        <w:rPr>
          <w:rFonts w:ascii="Arial" w:eastAsia="Arial" w:hAnsi="Arial" w:cs="Arial"/>
          <w:b/>
          <w:color w:val="000000"/>
          <w:lang w:eastAsia="es-MX"/>
        </w:rPr>
        <w:t xml:space="preserve"> </w:t>
      </w:r>
      <w:r w:rsidRPr="00EB6AC8">
        <w:rPr>
          <w:rFonts w:ascii="Arial" w:eastAsia="Arial" w:hAnsi="Arial" w:cs="Arial"/>
          <w:color w:val="000000"/>
          <w:lang w:eastAsia="es-MX"/>
        </w:rPr>
        <w:t>deberá depositar dichos recursos al FONADIN o a</w:t>
      </w:r>
      <w:r>
        <w:rPr>
          <w:rFonts w:ascii="Arial" w:eastAsia="Arial" w:hAnsi="Arial" w:cs="Arial"/>
          <w:color w:val="000000"/>
          <w:lang w:eastAsia="es-MX"/>
        </w:rPr>
        <w:t xml:space="preserve"> la Institución que, de ser el caso lo sustituya en sus funciones</w:t>
      </w:r>
      <w:r w:rsidRPr="00EB6AC8">
        <w:rPr>
          <w:rFonts w:ascii="Arial" w:eastAsia="Arial" w:hAnsi="Arial" w:cs="Arial"/>
          <w:color w:val="000000"/>
          <w:lang w:eastAsia="es-MX"/>
        </w:rPr>
        <w:t xml:space="preserve">, a más tardar el último día hábil del mes de enero del año en curso. </w:t>
      </w:r>
    </w:p>
    <w:p w14:paraId="2BE3C41E" w14:textId="77777777" w:rsidR="00EB6AC8" w:rsidRPr="00EB6AC8" w:rsidRDefault="00EB6AC8" w:rsidP="00EB6AC8">
      <w:pPr>
        <w:spacing w:after="0"/>
        <w:jc w:val="both"/>
        <w:rPr>
          <w:rFonts w:ascii="Arial" w:eastAsia="Arial" w:hAnsi="Arial" w:cs="Arial"/>
          <w:color w:val="000000"/>
          <w:lang w:eastAsia="es-MX"/>
        </w:rPr>
      </w:pPr>
      <w:r w:rsidRPr="00EB6AC8">
        <w:rPr>
          <w:rFonts w:ascii="Arial" w:eastAsia="Arial" w:hAnsi="Arial" w:cs="Arial"/>
          <w:color w:val="000000"/>
          <w:lang w:eastAsia="es-MX"/>
        </w:rPr>
        <w:t xml:space="preserve"> </w:t>
      </w:r>
    </w:p>
    <w:p w14:paraId="4C5EB9E1" w14:textId="58442EAD" w:rsidR="00EB6AC8" w:rsidRPr="00EB6AC8" w:rsidRDefault="00EB6AC8" w:rsidP="00EB6AC8">
      <w:pPr>
        <w:spacing w:after="0" w:line="240" w:lineRule="auto"/>
        <w:ind w:left="-15" w:right="1"/>
        <w:jc w:val="both"/>
        <w:rPr>
          <w:rFonts w:ascii="Arial" w:eastAsia="Arial" w:hAnsi="Arial" w:cs="Arial"/>
          <w:color w:val="000000"/>
          <w:lang w:eastAsia="es-MX"/>
        </w:rPr>
      </w:pPr>
      <w:r w:rsidRPr="00EB6AC8">
        <w:rPr>
          <w:rFonts w:ascii="Arial" w:eastAsia="Arial" w:hAnsi="Arial" w:cs="Arial"/>
          <w:color w:val="000000"/>
          <w:lang w:eastAsia="es-MX"/>
        </w:rPr>
        <w:t>Cada año de operación a partir de la fecha de inicio de operación de la Carretera</w:t>
      </w:r>
      <w:r>
        <w:rPr>
          <w:rFonts w:ascii="Arial" w:eastAsia="Arial" w:hAnsi="Arial" w:cs="Arial"/>
          <w:color w:val="000000"/>
          <w:lang w:eastAsia="es-MX"/>
        </w:rPr>
        <w:t xml:space="preserve">, la Concesionaria </w:t>
      </w:r>
      <w:r w:rsidRPr="00EB6AC8">
        <w:rPr>
          <w:rFonts w:ascii="Arial" w:eastAsia="Arial" w:hAnsi="Arial" w:cs="Arial"/>
          <w:color w:val="000000"/>
          <w:lang w:eastAsia="es-MX"/>
        </w:rPr>
        <w:t>comunicará a la S</w:t>
      </w:r>
      <w:r>
        <w:rPr>
          <w:rFonts w:ascii="Arial" w:eastAsia="Arial" w:hAnsi="Arial" w:cs="Arial"/>
          <w:color w:val="000000"/>
          <w:lang w:eastAsia="es-MX"/>
        </w:rPr>
        <w:t>ecretaría</w:t>
      </w:r>
      <w:r w:rsidRPr="00EB6AC8">
        <w:rPr>
          <w:rFonts w:ascii="Arial" w:eastAsia="Arial" w:hAnsi="Arial" w:cs="Arial"/>
          <w:color w:val="000000"/>
          <w:lang w:eastAsia="es-MX"/>
        </w:rPr>
        <w:t>, antes del 20 de enero del año en curso, el monto total de los ingresos brutos tarifados, del año inmediato anterior, sin IVA, en pesos nominales.</w:t>
      </w:r>
    </w:p>
    <w:sectPr w:rsidR="00EB6AC8" w:rsidRPr="00EB6AC8" w:rsidSect="00E93DAF">
      <w:headerReference w:type="default" r:id="rId11"/>
      <w:footerReference w:type="default" r:id="rId12"/>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1EA6F" w14:textId="77777777" w:rsidR="005D06CB" w:rsidRDefault="005D06CB" w:rsidP="00C02D2A">
      <w:pPr>
        <w:spacing w:after="0" w:line="240" w:lineRule="auto"/>
      </w:pPr>
      <w:r>
        <w:separator/>
      </w:r>
    </w:p>
  </w:endnote>
  <w:endnote w:type="continuationSeparator" w:id="0">
    <w:p w14:paraId="7AE8848D" w14:textId="77777777" w:rsidR="005D06CB" w:rsidRDefault="005D06CB"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350"/>
      <w:gridCol w:w="3373"/>
      <w:gridCol w:w="3347"/>
    </w:tblGrid>
    <w:tr w:rsidR="00D878C9" w:rsidRPr="007D3DC9" w14:paraId="79469B5F" w14:textId="77777777" w:rsidTr="00D878C9">
      <w:tc>
        <w:tcPr>
          <w:tcW w:w="3596" w:type="dxa"/>
          <w:vAlign w:val="center"/>
        </w:tcPr>
        <w:p w14:paraId="13AE3894" w14:textId="77777777" w:rsidR="00D878C9" w:rsidRPr="007D3DC9" w:rsidRDefault="00D878C9" w:rsidP="003849BC">
          <w:pPr>
            <w:pStyle w:val="Piedepgina"/>
            <w:jc w:val="center"/>
            <w:rPr>
              <w:rFonts w:ascii="Arial" w:hAnsi="Arial" w:cs="Arial"/>
              <w:b/>
              <w:sz w:val="16"/>
              <w:lang w:val="es-MX"/>
            </w:rPr>
          </w:pPr>
        </w:p>
        <w:p w14:paraId="1DBD3D24" w14:textId="56783582" w:rsidR="00D878C9" w:rsidRPr="007D3DC9" w:rsidRDefault="00D878C9" w:rsidP="003849BC">
          <w:pPr>
            <w:pStyle w:val="Piedepgina"/>
            <w:jc w:val="center"/>
            <w:rPr>
              <w:rFonts w:ascii="Arial" w:hAnsi="Arial" w:cs="Arial"/>
              <w:b/>
              <w:sz w:val="16"/>
              <w:lang w:val="es-MX"/>
            </w:rPr>
          </w:pPr>
          <w:r w:rsidRPr="007D3DC9">
            <w:rPr>
              <w:rFonts w:ascii="Arial" w:hAnsi="Arial" w:cs="Arial"/>
              <w:b/>
              <w:sz w:val="16"/>
              <w:lang w:val="es-MX"/>
            </w:rPr>
            <w:t xml:space="preserve">ANEXO </w:t>
          </w:r>
          <w:r w:rsidR="00EB6AC8" w:rsidRPr="007D3DC9">
            <w:rPr>
              <w:rFonts w:ascii="Arial" w:hAnsi="Arial" w:cs="Arial"/>
              <w:b/>
              <w:sz w:val="16"/>
              <w:lang w:val="es-MX"/>
            </w:rPr>
            <w:t>5</w:t>
          </w:r>
        </w:p>
        <w:p w14:paraId="7FDF4A77" w14:textId="77777777" w:rsidR="00D878C9" w:rsidRPr="007D3DC9" w:rsidRDefault="00D878C9" w:rsidP="003849BC">
          <w:pPr>
            <w:pStyle w:val="Piedepgina"/>
            <w:jc w:val="center"/>
            <w:rPr>
              <w:rFonts w:ascii="Arial" w:hAnsi="Arial" w:cs="Arial"/>
              <w:b/>
              <w:sz w:val="16"/>
              <w:lang w:val="es-MX"/>
            </w:rPr>
          </w:pPr>
        </w:p>
      </w:tc>
      <w:tc>
        <w:tcPr>
          <w:tcW w:w="3597" w:type="dxa"/>
          <w:vAlign w:val="center"/>
        </w:tcPr>
        <w:p w14:paraId="3438C6DE" w14:textId="7D520632" w:rsidR="00D878C9" w:rsidRPr="007D3DC9" w:rsidRDefault="00D878C9" w:rsidP="003849BC">
          <w:pPr>
            <w:pStyle w:val="Piedepgina"/>
            <w:tabs>
              <w:tab w:val="clear" w:pos="4419"/>
              <w:tab w:val="center" w:pos="3391"/>
            </w:tabs>
            <w:jc w:val="center"/>
            <w:rPr>
              <w:rFonts w:ascii="Arial" w:hAnsi="Arial" w:cs="Arial"/>
              <w:b/>
              <w:sz w:val="16"/>
              <w:lang w:val="es-MX"/>
            </w:rPr>
          </w:pPr>
          <w:r w:rsidRPr="007D3DC9">
            <w:rPr>
              <w:rFonts w:ascii="Arial" w:hAnsi="Arial" w:cs="Arial"/>
              <w:b/>
              <w:sz w:val="16"/>
              <w:lang w:val="es-MX"/>
            </w:rPr>
            <w:t xml:space="preserve">Anexos del </w:t>
          </w:r>
          <w:r w:rsidR="00681805" w:rsidRPr="007D3DC9">
            <w:rPr>
              <w:rFonts w:ascii="Arial" w:hAnsi="Arial" w:cs="Arial"/>
              <w:b/>
              <w:sz w:val="16"/>
              <w:lang w:val="es-MX"/>
            </w:rPr>
            <w:t>Título de Concesión</w:t>
          </w:r>
        </w:p>
      </w:tc>
      <w:tc>
        <w:tcPr>
          <w:tcW w:w="3597" w:type="dxa"/>
          <w:vAlign w:val="center"/>
        </w:tcPr>
        <w:p w14:paraId="0132146F" w14:textId="083C6587" w:rsidR="00D878C9" w:rsidRPr="007D3DC9" w:rsidRDefault="00D878C9" w:rsidP="003849BC">
          <w:pPr>
            <w:pStyle w:val="Piedepgina"/>
            <w:jc w:val="center"/>
            <w:rPr>
              <w:rFonts w:ascii="Arial" w:hAnsi="Arial" w:cs="Arial"/>
              <w:b/>
              <w:sz w:val="16"/>
              <w:lang w:val="es-MX"/>
            </w:rPr>
          </w:pPr>
          <w:r w:rsidRPr="007D3DC9">
            <w:rPr>
              <w:rFonts w:ascii="Arial" w:hAnsi="Arial" w:cs="Arial"/>
              <w:b/>
              <w:sz w:val="16"/>
              <w:lang w:val="es-MX"/>
            </w:rPr>
            <w:t xml:space="preserve">Página </w:t>
          </w:r>
          <w:r w:rsidRPr="007D3DC9">
            <w:rPr>
              <w:rFonts w:ascii="Arial" w:hAnsi="Arial" w:cs="Arial"/>
              <w:b/>
              <w:sz w:val="16"/>
              <w:lang w:val="es-MX"/>
            </w:rPr>
            <w:fldChar w:fldCharType="begin"/>
          </w:r>
          <w:r w:rsidRPr="007D3DC9">
            <w:rPr>
              <w:rFonts w:ascii="Arial" w:hAnsi="Arial" w:cs="Arial"/>
              <w:b/>
              <w:sz w:val="16"/>
              <w:lang w:val="es-MX"/>
            </w:rPr>
            <w:instrText>PAGE  \* Arabic  \* MERGEFORMAT</w:instrText>
          </w:r>
          <w:r w:rsidRPr="007D3DC9">
            <w:rPr>
              <w:rFonts w:ascii="Arial" w:hAnsi="Arial" w:cs="Arial"/>
              <w:b/>
              <w:sz w:val="16"/>
              <w:lang w:val="es-MX"/>
            </w:rPr>
            <w:fldChar w:fldCharType="separate"/>
          </w:r>
          <w:r w:rsidRPr="007D3DC9">
            <w:rPr>
              <w:rFonts w:ascii="Arial" w:hAnsi="Arial" w:cs="Arial"/>
              <w:b/>
              <w:sz w:val="16"/>
              <w:lang w:val="es-MX"/>
            </w:rPr>
            <w:t>1</w:t>
          </w:r>
          <w:r w:rsidRPr="007D3DC9">
            <w:rPr>
              <w:rFonts w:ascii="Arial" w:hAnsi="Arial" w:cs="Arial"/>
              <w:b/>
              <w:sz w:val="16"/>
              <w:lang w:val="es-MX"/>
            </w:rPr>
            <w:fldChar w:fldCharType="end"/>
          </w:r>
          <w:r w:rsidRPr="007D3DC9">
            <w:rPr>
              <w:rFonts w:ascii="Arial" w:hAnsi="Arial" w:cs="Arial"/>
              <w:b/>
              <w:sz w:val="16"/>
              <w:lang w:val="es-MX"/>
            </w:rPr>
            <w:t xml:space="preserve"> de </w:t>
          </w:r>
          <w:r w:rsidR="007D3DC9" w:rsidRPr="007D3DC9">
            <w:rPr>
              <w:rFonts w:ascii="Arial" w:hAnsi="Arial" w:cs="Arial"/>
              <w:b/>
              <w:sz w:val="16"/>
              <w:lang w:val="es-MX"/>
            </w:rPr>
            <w:t>4</w:t>
          </w:r>
        </w:p>
      </w:tc>
    </w:tr>
  </w:tbl>
  <w:p w14:paraId="378FF89A" w14:textId="77777777" w:rsidR="00D878C9" w:rsidRDefault="00D878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F4E97" w14:textId="77777777" w:rsidR="005D06CB" w:rsidRDefault="005D06CB" w:rsidP="00C02D2A">
      <w:pPr>
        <w:spacing w:after="0" w:line="240" w:lineRule="auto"/>
      </w:pPr>
      <w:r>
        <w:separator/>
      </w:r>
    </w:p>
  </w:footnote>
  <w:footnote w:type="continuationSeparator" w:id="0">
    <w:p w14:paraId="53C20718" w14:textId="77777777" w:rsidR="005D06CB" w:rsidRDefault="005D06CB"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7D3DC9" w:rsidRPr="00650593" w14:paraId="36CAC78E" w14:textId="77777777" w:rsidTr="00195135">
      <w:tc>
        <w:tcPr>
          <w:tcW w:w="3114" w:type="dxa"/>
          <w:vAlign w:val="center"/>
        </w:tcPr>
        <w:p w14:paraId="76F69520" w14:textId="77777777" w:rsidR="007D3DC9" w:rsidRPr="00650593" w:rsidRDefault="007D3DC9" w:rsidP="007D3DC9">
          <w:pPr>
            <w:jc w:val="center"/>
            <w:rPr>
              <w:rFonts w:ascii="Arial" w:eastAsia="Arial" w:hAnsi="Arial" w:cs="Arial"/>
              <w:lang w:val="es-MX" w:eastAsia="es-MX" w:bidi="es-MX"/>
            </w:rPr>
          </w:pPr>
          <w:r w:rsidRPr="00650593">
            <w:rPr>
              <w:rFonts w:ascii="Arial" w:eastAsia="Arial" w:hAnsi="Arial" w:cs="Arial"/>
              <w:lang w:val="es-MX" w:eastAsia="es-MX" w:bidi="es-MX"/>
            </w:rPr>
            <w:object w:dxaOrig="1665" w:dyaOrig="1935" w14:anchorId="57807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3862" r:id="rId2"/>
            </w:object>
          </w:r>
        </w:p>
      </w:tc>
      <w:tc>
        <w:tcPr>
          <w:tcW w:w="3124" w:type="dxa"/>
          <w:vAlign w:val="center"/>
        </w:tcPr>
        <w:p w14:paraId="6CC3DDD7" w14:textId="77777777" w:rsidR="007D3DC9" w:rsidRPr="00650593" w:rsidRDefault="007D3DC9" w:rsidP="007D3DC9">
          <w:pPr>
            <w:tabs>
              <w:tab w:val="center" w:pos="4419"/>
              <w:tab w:val="right" w:pos="8838"/>
            </w:tabs>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PROYECTO APP</w:t>
          </w:r>
        </w:p>
        <w:p w14:paraId="31226CA1" w14:textId="77777777" w:rsidR="007D3DC9" w:rsidRPr="00650593" w:rsidRDefault="007D3DC9" w:rsidP="007D3DC9">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w:t>
          </w:r>
          <w:bookmarkStart w:id="5" w:name="_Hlk23934884"/>
          <w:r w:rsidRPr="00650593">
            <w:rPr>
              <w:rFonts w:ascii="Arial" w:eastAsia="Arial" w:hAnsi="Arial" w:cs="Arial"/>
              <w:b/>
              <w:sz w:val="16"/>
              <w:lang w:val="es-MX" w:eastAsia="es-MX" w:bidi="es-MX"/>
            </w:rPr>
            <w:t>Carretera</w:t>
          </w:r>
          <w:bookmarkStart w:id="6" w:name="_Hlk23940043"/>
          <w:r w:rsidRPr="00650593">
            <w:rPr>
              <w:rFonts w:ascii="Arial" w:eastAsia="Arial" w:hAnsi="Arial" w:cs="Arial"/>
              <w:b/>
              <w:sz w:val="16"/>
              <w:lang w:val="es-MX" w:eastAsia="es-MX" w:bidi="es-MX"/>
            </w:rPr>
            <w:t xml:space="preserve"> Real del Monte – Entronque </w:t>
          </w:r>
          <w:bookmarkEnd w:id="5"/>
          <w:bookmarkEnd w:id="6"/>
          <w:r w:rsidRPr="00650593">
            <w:rPr>
              <w:rFonts w:ascii="Arial" w:eastAsia="Arial" w:hAnsi="Arial" w:cs="Arial"/>
              <w:b/>
              <w:sz w:val="16"/>
              <w:lang w:val="es-MX" w:eastAsia="es-MX" w:bidi="es-MX"/>
            </w:rPr>
            <w:t>Huasca”</w:t>
          </w:r>
        </w:p>
        <w:p w14:paraId="10AE2925" w14:textId="77777777" w:rsidR="007D3DC9" w:rsidRPr="00650593" w:rsidRDefault="007D3DC9" w:rsidP="007D3DC9">
          <w:pPr>
            <w:jc w:val="center"/>
            <w:rPr>
              <w:rFonts w:ascii="Arial" w:eastAsia="Arial" w:hAnsi="Arial" w:cs="Arial"/>
              <w:b/>
              <w:sz w:val="16"/>
              <w:lang w:val="es-MX" w:eastAsia="es-MX" w:bidi="es-MX"/>
            </w:rPr>
          </w:pPr>
          <w:r w:rsidRPr="00650593">
            <w:rPr>
              <w:rFonts w:ascii="Arial" w:eastAsia="Arial" w:hAnsi="Arial" w:cs="Arial"/>
              <w:b/>
              <w:sz w:val="16"/>
              <w:lang w:val="es-MX" w:eastAsia="es-MX" w:bidi="es-MX"/>
            </w:rPr>
            <w:t xml:space="preserve">Concurso Público </w:t>
          </w:r>
        </w:p>
        <w:p w14:paraId="046D1CF4" w14:textId="77777777" w:rsidR="007D3DC9" w:rsidRPr="00650593" w:rsidRDefault="007D3DC9" w:rsidP="007D3DC9">
          <w:pPr>
            <w:jc w:val="center"/>
            <w:rPr>
              <w:rFonts w:ascii="Arial" w:eastAsia="Arial" w:hAnsi="Arial" w:cs="Arial"/>
              <w:lang w:val="es-MX" w:eastAsia="es-MX" w:bidi="es-MX"/>
            </w:rPr>
          </w:pPr>
          <w:r w:rsidRPr="00650593">
            <w:rPr>
              <w:rFonts w:ascii="Arial" w:eastAsia="Arial" w:hAnsi="Arial" w:cs="Arial"/>
              <w:b/>
              <w:sz w:val="16"/>
              <w:lang w:val="es-MX" w:eastAsia="es-MX" w:bidi="es-MX"/>
            </w:rPr>
            <w:t>No. APP-913005997-E1-2021</w:t>
          </w:r>
        </w:p>
      </w:tc>
      <w:tc>
        <w:tcPr>
          <w:tcW w:w="3402" w:type="dxa"/>
          <w:vAlign w:val="center"/>
        </w:tcPr>
        <w:p w14:paraId="68FC6C11" w14:textId="77777777" w:rsidR="007D3DC9" w:rsidRPr="00650593" w:rsidRDefault="007D3DC9" w:rsidP="007D3DC9">
          <w:pPr>
            <w:jc w:val="right"/>
            <w:rPr>
              <w:rFonts w:ascii="Arial" w:eastAsia="Arial" w:hAnsi="Arial" w:cs="Arial"/>
              <w:lang w:val="es-MX" w:eastAsia="es-MX" w:bidi="es-MX"/>
            </w:rPr>
          </w:pPr>
          <w:r w:rsidRPr="00650593">
            <w:rPr>
              <w:rFonts w:ascii="Arial" w:eastAsia="Arial" w:hAnsi="Arial" w:cs="Arial"/>
              <w:noProof/>
              <w:lang w:val="es-MX" w:eastAsia="es-MX"/>
            </w:rPr>
            <w:drawing>
              <wp:inline distT="0" distB="0" distL="0" distR="0" wp14:anchorId="1C566456" wp14:editId="3953F13D">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010D45"/>
    <w:multiLevelType w:val="hybridMultilevel"/>
    <w:tmpl w:val="A05C6398"/>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5" w15:restartNumberingAfterBreak="0">
    <w:nsid w:val="112A35CA"/>
    <w:multiLevelType w:val="hybridMultilevel"/>
    <w:tmpl w:val="EE861510"/>
    <w:lvl w:ilvl="0" w:tplc="2A0C543E">
      <w:start w:val="1"/>
      <w:numFmt w:val="lowerLetter"/>
      <w:lvlText w:val="%1."/>
      <w:lvlJc w:val="left"/>
      <w:pPr>
        <w:ind w:left="720" w:hanging="360"/>
      </w:pPr>
      <w:rPr>
        <w:rFonts w:hint="default"/>
      </w:rPr>
    </w:lvl>
    <w:lvl w:ilvl="1" w:tplc="4C224910">
      <w:start w:val="1"/>
      <w:numFmt w:val="lowerLetter"/>
      <w:lvlText w:val="%2."/>
      <w:lvlJc w:val="left"/>
      <w:pPr>
        <w:ind w:left="1440" w:hanging="360"/>
      </w:pPr>
      <w:rPr>
        <w:b/>
        <w:bCs/>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7"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9A57363"/>
    <w:multiLevelType w:val="hybridMultilevel"/>
    <w:tmpl w:val="C1383578"/>
    <w:lvl w:ilvl="0" w:tplc="84B6A428">
      <w:start w:val="1"/>
      <w:numFmt w:val="upperLetter"/>
      <w:lvlText w:val="%1."/>
      <w:lvlJc w:val="left"/>
      <w:pPr>
        <w:ind w:left="8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5E4EDBA">
      <w:start w:val="1"/>
      <w:numFmt w:val="upperRoman"/>
      <w:lvlText w:val="%2."/>
      <w:lvlJc w:val="left"/>
      <w:pPr>
        <w:ind w:left="17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40480C6">
      <w:start w:val="1"/>
      <w:numFmt w:val="lowerRoman"/>
      <w:lvlText w:val="%3"/>
      <w:lvlJc w:val="left"/>
      <w:pPr>
        <w:ind w:left="19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F1AE0D8">
      <w:start w:val="1"/>
      <w:numFmt w:val="decimal"/>
      <w:lvlText w:val="%4"/>
      <w:lvlJc w:val="left"/>
      <w:pPr>
        <w:ind w:left="26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A62A188">
      <w:start w:val="1"/>
      <w:numFmt w:val="lowerLetter"/>
      <w:lvlText w:val="%5"/>
      <w:lvlJc w:val="left"/>
      <w:pPr>
        <w:ind w:left="33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51E8AEC">
      <w:start w:val="1"/>
      <w:numFmt w:val="lowerRoman"/>
      <w:lvlText w:val="%6"/>
      <w:lvlJc w:val="left"/>
      <w:pPr>
        <w:ind w:left="40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92E3D86">
      <w:start w:val="1"/>
      <w:numFmt w:val="decimal"/>
      <w:lvlText w:val="%7"/>
      <w:lvlJc w:val="left"/>
      <w:pPr>
        <w:ind w:left="48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A40D546">
      <w:start w:val="1"/>
      <w:numFmt w:val="lowerLetter"/>
      <w:lvlText w:val="%8"/>
      <w:lvlJc w:val="left"/>
      <w:pPr>
        <w:ind w:left="55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63EA232">
      <w:start w:val="1"/>
      <w:numFmt w:val="lowerRoman"/>
      <w:lvlText w:val="%9"/>
      <w:lvlJc w:val="left"/>
      <w:pPr>
        <w:ind w:left="62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C1D41E0"/>
    <w:multiLevelType w:val="hybridMultilevel"/>
    <w:tmpl w:val="17E87608"/>
    <w:lvl w:ilvl="0" w:tplc="B4B889C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13" w15:restartNumberingAfterBreak="0">
    <w:nsid w:val="29F13C5A"/>
    <w:multiLevelType w:val="hybridMultilevel"/>
    <w:tmpl w:val="1F66023A"/>
    <w:lvl w:ilvl="0" w:tplc="F7CABEE6">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2"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5" w15:restartNumberingAfterBreak="0">
    <w:nsid w:val="4AC23116"/>
    <w:multiLevelType w:val="hybridMultilevel"/>
    <w:tmpl w:val="E3E4391E"/>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0935143"/>
    <w:multiLevelType w:val="hybridMultilevel"/>
    <w:tmpl w:val="8AC42C7A"/>
    <w:lvl w:ilvl="0" w:tplc="9C061EE8">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2" w15:restartNumberingAfterBreak="0">
    <w:nsid w:val="5F61532B"/>
    <w:multiLevelType w:val="hybridMultilevel"/>
    <w:tmpl w:val="0B4A6EE6"/>
    <w:lvl w:ilvl="0" w:tplc="FF203146">
      <w:start w:val="1"/>
      <w:numFmt w:val="lowerLetter"/>
      <w:lvlText w:val="%1)"/>
      <w:lvlJc w:val="left"/>
      <w:pPr>
        <w:ind w:left="720" w:hanging="360"/>
      </w:pPr>
      <w:rPr>
        <w:rFonts w:hint="default"/>
        <w:b/>
        <w:bCs/>
      </w:rPr>
    </w:lvl>
    <w:lvl w:ilvl="1" w:tplc="D8CE11E0">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37"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9"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44"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45"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6"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36"/>
  </w:num>
  <w:num w:numId="2">
    <w:abstractNumId w:val="14"/>
  </w:num>
  <w:num w:numId="3">
    <w:abstractNumId w:val="4"/>
  </w:num>
  <w:num w:numId="4">
    <w:abstractNumId w:val="31"/>
  </w:num>
  <w:num w:numId="5">
    <w:abstractNumId w:val="38"/>
  </w:num>
  <w:num w:numId="6">
    <w:abstractNumId w:val="35"/>
  </w:num>
  <w:num w:numId="7">
    <w:abstractNumId w:val="1"/>
  </w:num>
  <w:num w:numId="8">
    <w:abstractNumId w:val="41"/>
  </w:num>
  <w:num w:numId="9">
    <w:abstractNumId w:val="21"/>
  </w:num>
  <w:num w:numId="10">
    <w:abstractNumId w:val="43"/>
  </w:num>
  <w:num w:numId="11">
    <w:abstractNumId w:val="34"/>
  </w:num>
  <w:num w:numId="12">
    <w:abstractNumId w:val="39"/>
  </w:num>
  <w:num w:numId="13">
    <w:abstractNumId w:val="6"/>
  </w:num>
  <w:num w:numId="14">
    <w:abstractNumId w:val="45"/>
  </w:num>
  <w:num w:numId="15">
    <w:abstractNumId w:val="44"/>
  </w:num>
  <w:num w:numId="16">
    <w:abstractNumId w:val="12"/>
  </w:num>
  <w:num w:numId="17">
    <w:abstractNumId w:val="46"/>
  </w:num>
  <w:num w:numId="18">
    <w:abstractNumId w:val="11"/>
  </w:num>
  <w:num w:numId="19">
    <w:abstractNumId w:val="33"/>
  </w:num>
  <w:num w:numId="20">
    <w:abstractNumId w:val="19"/>
  </w:num>
  <w:num w:numId="21">
    <w:abstractNumId w:val="20"/>
  </w:num>
  <w:num w:numId="22">
    <w:abstractNumId w:val="29"/>
  </w:num>
  <w:num w:numId="23">
    <w:abstractNumId w:val="42"/>
  </w:num>
  <w:num w:numId="24">
    <w:abstractNumId w:val="26"/>
  </w:num>
  <w:num w:numId="25">
    <w:abstractNumId w:val="18"/>
  </w:num>
  <w:num w:numId="26">
    <w:abstractNumId w:val="15"/>
  </w:num>
  <w:num w:numId="27">
    <w:abstractNumId w:val="37"/>
  </w:num>
  <w:num w:numId="28">
    <w:abstractNumId w:val="28"/>
  </w:num>
  <w:num w:numId="29">
    <w:abstractNumId w:val="3"/>
  </w:num>
  <w:num w:numId="30">
    <w:abstractNumId w:val="30"/>
  </w:num>
  <w:num w:numId="31">
    <w:abstractNumId w:val="24"/>
  </w:num>
  <w:num w:numId="32">
    <w:abstractNumId w:val="16"/>
  </w:num>
  <w:num w:numId="33">
    <w:abstractNumId w:val="17"/>
  </w:num>
  <w:num w:numId="34">
    <w:abstractNumId w:val="8"/>
  </w:num>
  <w:num w:numId="35">
    <w:abstractNumId w:val="0"/>
  </w:num>
  <w:num w:numId="36">
    <w:abstractNumId w:val="7"/>
  </w:num>
  <w:num w:numId="37">
    <w:abstractNumId w:val="23"/>
  </w:num>
  <w:num w:numId="38">
    <w:abstractNumId w:val="40"/>
  </w:num>
  <w:num w:numId="39">
    <w:abstractNumId w:val="22"/>
  </w:num>
  <w:num w:numId="40">
    <w:abstractNumId w:val="32"/>
  </w:num>
  <w:num w:numId="41">
    <w:abstractNumId w:val="25"/>
  </w:num>
  <w:num w:numId="42">
    <w:abstractNumId w:val="27"/>
  </w:num>
  <w:num w:numId="43">
    <w:abstractNumId w:val="2"/>
  </w:num>
  <w:num w:numId="44">
    <w:abstractNumId w:val="5"/>
  </w:num>
  <w:num w:numId="45">
    <w:abstractNumId w:val="10"/>
  </w:num>
  <w:num w:numId="46">
    <w:abstractNumId w:val="13"/>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398A"/>
    <w:rsid w:val="00046D88"/>
    <w:rsid w:val="000839E1"/>
    <w:rsid w:val="00086ED1"/>
    <w:rsid w:val="000B536B"/>
    <w:rsid w:val="000C2DB0"/>
    <w:rsid w:val="000C2E2F"/>
    <w:rsid w:val="000C3420"/>
    <w:rsid w:val="000D0B37"/>
    <w:rsid w:val="000D40C6"/>
    <w:rsid w:val="000D410E"/>
    <w:rsid w:val="001259F3"/>
    <w:rsid w:val="001318B1"/>
    <w:rsid w:val="001331DD"/>
    <w:rsid w:val="00144132"/>
    <w:rsid w:val="001453DF"/>
    <w:rsid w:val="0014592B"/>
    <w:rsid w:val="00161352"/>
    <w:rsid w:val="001838EB"/>
    <w:rsid w:val="00183E3B"/>
    <w:rsid w:val="001A250C"/>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A05C4"/>
    <w:rsid w:val="002A7036"/>
    <w:rsid w:val="00304EC3"/>
    <w:rsid w:val="003130B4"/>
    <w:rsid w:val="00320DCB"/>
    <w:rsid w:val="00336F77"/>
    <w:rsid w:val="00346193"/>
    <w:rsid w:val="00346CD6"/>
    <w:rsid w:val="003849BC"/>
    <w:rsid w:val="00396160"/>
    <w:rsid w:val="00396FC0"/>
    <w:rsid w:val="003A782B"/>
    <w:rsid w:val="003B5772"/>
    <w:rsid w:val="003C3479"/>
    <w:rsid w:val="003C4D7A"/>
    <w:rsid w:val="0040135D"/>
    <w:rsid w:val="00406AEB"/>
    <w:rsid w:val="004151AB"/>
    <w:rsid w:val="004512B1"/>
    <w:rsid w:val="0049798B"/>
    <w:rsid w:val="004A00D0"/>
    <w:rsid w:val="004A0797"/>
    <w:rsid w:val="004A5073"/>
    <w:rsid w:val="004B5310"/>
    <w:rsid w:val="004C4F03"/>
    <w:rsid w:val="004D535E"/>
    <w:rsid w:val="004E17F6"/>
    <w:rsid w:val="004E5D52"/>
    <w:rsid w:val="004E6FA1"/>
    <w:rsid w:val="0051563A"/>
    <w:rsid w:val="005431A7"/>
    <w:rsid w:val="00551020"/>
    <w:rsid w:val="0055379D"/>
    <w:rsid w:val="00556781"/>
    <w:rsid w:val="0056684C"/>
    <w:rsid w:val="00572383"/>
    <w:rsid w:val="005769B4"/>
    <w:rsid w:val="00596F08"/>
    <w:rsid w:val="005A30F9"/>
    <w:rsid w:val="005B549D"/>
    <w:rsid w:val="005D06CB"/>
    <w:rsid w:val="005E2909"/>
    <w:rsid w:val="005E3FB7"/>
    <w:rsid w:val="005E7480"/>
    <w:rsid w:val="00600818"/>
    <w:rsid w:val="00624C96"/>
    <w:rsid w:val="00645E99"/>
    <w:rsid w:val="006547A3"/>
    <w:rsid w:val="00654AF3"/>
    <w:rsid w:val="006754E2"/>
    <w:rsid w:val="00681805"/>
    <w:rsid w:val="00693877"/>
    <w:rsid w:val="006C6CB4"/>
    <w:rsid w:val="006E1CAB"/>
    <w:rsid w:val="006F2B38"/>
    <w:rsid w:val="006F6670"/>
    <w:rsid w:val="00702348"/>
    <w:rsid w:val="00717AF8"/>
    <w:rsid w:val="00724DF2"/>
    <w:rsid w:val="00726F0A"/>
    <w:rsid w:val="00734E07"/>
    <w:rsid w:val="00767AED"/>
    <w:rsid w:val="007D3DC9"/>
    <w:rsid w:val="007D4A34"/>
    <w:rsid w:val="007D4EB7"/>
    <w:rsid w:val="007D6508"/>
    <w:rsid w:val="007E56E2"/>
    <w:rsid w:val="007F61A3"/>
    <w:rsid w:val="00803585"/>
    <w:rsid w:val="00823B31"/>
    <w:rsid w:val="00833884"/>
    <w:rsid w:val="008357CF"/>
    <w:rsid w:val="00841C2A"/>
    <w:rsid w:val="008515D4"/>
    <w:rsid w:val="008712E7"/>
    <w:rsid w:val="00874A4E"/>
    <w:rsid w:val="00885C39"/>
    <w:rsid w:val="00897500"/>
    <w:rsid w:val="008A4FF0"/>
    <w:rsid w:val="008C1041"/>
    <w:rsid w:val="008C6BB9"/>
    <w:rsid w:val="008D1679"/>
    <w:rsid w:val="008D50F5"/>
    <w:rsid w:val="008E2AD7"/>
    <w:rsid w:val="008E4020"/>
    <w:rsid w:val="008E56FC"/>
    <w:rsid w:val="008E6DC3"/>
    <w:rsid w:val="008F1AE0"/>
    <w:rsid w:val="008F2E1E"/>
    <w:rsid w:val="008F527C"/>
    <w:rsid w:val="00910AF3"/>
    <w:rsid w:val="0093348D"/>
    <w:rsid w:val="00945020"/>
    <w:rsid w:val="009472CD"/>
    <w:rsid w:val="00947E46"/>
    <w:rsid w:val="00961BA7"/>
    <w:rsid w:val="009636D4"/>
    <w:rsid w:val="00984DF5"/>
    <w:rsid w:val="00993169"/>
    <w:rsid w:val="009A7884"/>
    <w:rsid w:val="009C59A7"/>
    <w:rsid w:val="009D0579"/>
    <w:rsid w:val="009D5899"/>
    <w:rsid w:val="00A02410"/>
    <w:rsid w:val="00A1508B"/>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C554F"/>
    <w:rsid w:val="00AD694D"/>
    <w:rsid w:val="00B03BCB"/>
    <w:rsid w:val="00B5161D"/>
    <w:rsid w:val="00B80AE3"/>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387B"/>
    <w:rsid w:val="00D33515"/>
    <w:rsid w:val="00D46AEC"/>
    <w:rsid w:val="00D50DE7"/>
    <w:rsid w:val="00D550CA"/>
    <w:rsid w:val="00D7566C"/>
    <w:rsid w:val="00D878C9"/>
    <w:rsid w:val="00D92626"/>
    <w:rsid w:val="00DB72EF"/>
    <w:rsid w:val="00DC532E"/>
    <w:rsid w:val="00DC54DC"/>
    <w:rsid w:val="00DD57F1"/>
    <w:rsid w:val="00DE473E"/>
    <w:rsid w:val="00DF7BD9"/>
    <w:rsid w:val="00E01CFB"/>
    <w:rsid w:val="00E033A4"/>
    <w:rsid w:val="00E1101D"/>
    <w:rsid w:val="00E20A8B"/>
    <w:rsid w:val="00E226C3"/>
    <w:rsid w:val="00E34B2F"/>
    <w:rsid w:val="00E4103E"/>
    <w:rsid w:val="00E42821"/>
    <w:rsid w:val="00E4610D"/>
    <w:rsid w:val="00E57198"/>
    <w:rsid w:val="00E619AF"/>
    <w:rsid w:val="00E6304F"/>
    <w:rsid w:val="00E93DAF"/>
    <w:rsid w:val="00EA7D48"/>
    <w:rsid w:val="00EB0FB9"/>
    <w:rsid w:val="00EB6AC8"/>
    <w:rsid w:val="00EC6BB3"/>
    <w:rsid w:val="00EC75A5"/>
    <w:rsid w:val="00F002C6"/>
    <w:rsid w:val="00F226B9"/>
    <w:rsid w:val="00F42711"/>
    <w:rsid w:val="00F55B86"/>
    <w:rsid w:val="00F56AAA"/>
    <w:rsid w:val="00FA07AD"/>
    <w:rsid w:val="00FC2C5F"/>
    <w:rsid w:val="00FC2E82"/>
    <w:rsid w:val="00FE305A"/>
    <w:rsid w:val="00FF6411"/>
    <w:rsid w:val="1BDC02D3"/>
    <w:rsid w:val="2585D3F1"/>
    <w:rsid w:val="38452830"/>
    <w:rsid w:val="4CA2E3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table" w:customStyle="1" w:styleId="Tablaconcuadrcula2">
    <w:name w:val="Tabla con cuadrícula2"/>
    <w:basedOn w:val="Tablanormal"/>
    <w:next w:val="Tablaconcuadrcula"/>
    <w:uiPriority w:val="39"/>
    <w:rsid w:val="007D3DC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3AF545CE06AD541A6D773B5E71F4DC5" ma:contentTypeVersion="9" ma:contentTypeDescription="Create a new document." ma:contentTypeScope="" ma:versionID="03c299c3490e2cf284adf6db0f6eaf73">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3688d1e80eaa426850d167e04c5923ba"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8648CE-7F1F-48DC-825C-7138405971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0D3EFE-CD8F-4B63-A6D5-EF6F9D91F954}">
  <ds:schemaRefs>
    <ds:schemaRef ds:uri="http://schemas.microsoft.com/sharepoint/v3/contenttype/forms"/>
  </ds:schemaRefs>
</ds:datastoreItem>
</file>

<file path=customXml/itemProps3.xml><?xml version="1.0" encoding="utf-8"?>
<ds:datastoreItem xmlns:ds="http://schemas.openxmlformats.org/officeDocument/2006/customXml" ds:itemID="{C860B548-81E7-4FF2-9B08-E6DA27DB7A77}">
  <ds:schemaRefs>
    <ds:schemaRef ds:uri="http://schemas.openxmlformats.org/officeDocument/2006/bibliography"/>
  </ds:schemaRefs>
</ds:datastoreItem>
</file>

<file path=customXml/itemProps4.xml><?xml version="1.0" encoding="utf-8"?>
<ds:datastoreItem xmlns:ds="http://schemas.openxmlformats.org/officeDocument/2006/customXml" ds:itemID="{B7102739-7799-4FA4-BAB3-BFB3EAE4D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773</Words>
  <Characters>4254</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3</cp:revision>
  <dcterms:created xsi:type="dcterms:W3CDTF">2021-01-12T01:30:00Z</dcterms:created>
  <dcterms:modified xsi:type="dcterms:W3CDTF">2021-01-13T01:11:00Z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